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5628F" w14:textId="77777777" w:rsidR="00BC3A0C" w:rsidRDefault="00000000">
      <w:pPr>
        <w:spacing w:after="40"/>
      </w:pPr>
      <w:r>
        <w:rPr>
          <w:caps/>
          <w:color w:val="595959"/>
          <w:sz w:val="18"/>
          <w:szCs w:val="18"/>
        </w:rPr>
        <w:t>EXECUTIVE SUMMARY | PAPER #12</w:t>
      </w:r>
    </w:p>
    <w:p w14:paraId="1C356290" w14:textId="77777777" w:rsidR="00BC3A0C" w:rsidRDefault="00000000">
      <w:pPr>
        <w:pBdr>
          <w:bottom w:val="single" w:sz="8" w:space="4" w:color="1F4E79"/>
        </w:pBdr>
        <w:spacing w:after="60"/>
      </w:pPr>
      <w:r>
        <w:rPr>
          <w:b/>
          <w:bCs/>
          <w:color w:val="1F4E79"/>
          <w:sz w:val="36"/>
          <w:szCs w:val="36"/>
        </w:rPr>
        <w:t>From Recruitment to Spiritual Direction: Transforming Mobilization Culture</w:t>
      </w:r>
    </w:p>
    <w:p w14:paraId="1C356291" w14:textId="77777777" w:rsidR="00BC3A0C" w:rsidRDefault="00000000">
      <w:pPr>
        <w:spacing w:before="80" w:after="80"/>
      </w:pPr>
      <w:r>
        <w:rPr>
          <w:i/>
          <w:iCs/>
          <w:color w:val="595959"/>
          <w:sz w:val="18"/>
          <w:szCs w:val="18"/>
        </w:rPr>
        <w:t>Research Base: Structured interviews with mobilization leaders from 18+ mission organizations | Mark Harris, Researcher</w:t>
      </w:r>
    </w:p>
    <w:p w14:paraId="1C356292" w14:textId="77777777" w:rsidR="00BC3A0C" w:rsidRDefault="00BC3A0C">
      <w:pPr>
        <w:spacing w:before="40" w:after="40"/>
      </w:pPr>
    </w:p>
    <w:p w14:paraId="1C356293" w14:textId="77777777" w:rsidR="00BC3A0C" w:rsidRDefault="00000000">
      <w:pPr>
        <w:pBdr>
          <w:bottom w:val="single" w:sz="6" w:space="1" w:color="2E75B6"/>
        </w:pBdr>
        <w:spacing w:before="280" w:after="100"/>
      </w:pPr>
      <w:r>
        <w:rPr>
          <w:b/>
          <w:bCs/>
          <w:color w:val="1F4E79"/>
          <w:sz w:val="28"/>
          <w:szCs w:val="28"/>
        </w:rPr>
        <w:t>The Central Finding</w:t>
      </w:r>
    </w:p>
    <w:p w14:paraId="1C356294" w14:textId="77777777" w:rsidR="00BC3A0C" w:rsidRDefault="00000000">
      <w:pPr>
        <w:spacing w:before="60" w:after="60" w:line="276" w:lineRule="auto"/>
      </w:pPr>
      <w:r>
        <w:t>The most fundamental shift occurring in North American missionary mobilization is philosophical, not strategic or technological. A growing number of organizations are moving from a recruitment paradigm—focused on filling organizational slots and acquiring candidates—toward a spiritual direction model focused on helping candidates discern God's calling for their lives.</w:t>
      </w:r>
    </w:p>
    <w:p w14:paraId="1C356295" w14:textId="77777777" w:rsidR="00BC3A0C" w:rsidRDefault="00000000">
      <w:pPr>
        <w:spacing w:before="60" w:after="60" w:line="276" w:lineRule="auto"/>
      </w:pPr>
      <w:r>
        <w:t xml:space="preserve">The core insight from research across 18+ organizations is striking in its simplicity: candidates who sense they are being recruited as </w:t>
      </w:r>
      <w:proofErr w:type="gramStart"/>
      <w:r>
        <w:t>products</w:t>
      </w:r>
      <w:proofErr w:type="gramEnd"/>
      <w:r>
        <w:t xml:space="preserve"> disengage. Candidates who experience genuine care for their calling—even if that means being referred to another organization—trust deeply and engage fully. Paradoxically, organizations most committed to candidate welfare consistently see the strongest mobilization outcomes.</w:t>
      </w:r>
    </w:p>
    <w:p w14:paraId="1C356296" w14:textId="77777777" w:rsidR="00BC3A0C" w:rsidRDefault="00BC3A0C">
      <w:pPr>
        <w:spacing w:before="40" w:after="40"/>
      </w:pPr>
    </w:p>
    <w:p w14:paraId="1C356297" w14:textId="77777777" w:rsidR="00BC3A0C" w:rsidRDefault="00000000">
      <w:pPr>
        <w:pBdr>
          <w:bottom w:val="single" w:sz="6" w:space="1" w:color="2E75B6"/>
        </w:pBdr>
        <w:spacing w:before="280" w:after="100"/>
      </w:pPr>
      <w:r>
        <w:rPr>
          <w:b/>
          <w:bCs/>
          <w:color w:val="1F4E79"/>
          <w:sz w:val="28"/>
          <w:szCs w:val="28"/>
        </w:rPr>
        <w:t>Three Mobilizer Identities</w:t>
      </w:r>
    </w:p>
    <w:p w14:paraId="1C356298" w14:textId="77777777" w:rsidR="00BC3A0C" w:rsidRDefault="00000000">
      <w:pPr>
        <w:spacing w:before="60" w:after="60" w:line="276" w:lineRule="auto"/>
      </w:pPr>
      <w:r>
        <w:rPr>
          <w:b/>
          <w:bCs/>
        </w:rPr>
        <w:t xml:space="preserve">The Recruiter: </w:t>
      </w:r>
      <w:r>
        <w:t>Primary loyalty to the organization. Success = applications submitted to this agency. Information that might lead candidates elsewhere is minimized. Every conversation is implicitly a sales conversation.</w:t>
      </w:r>
    </w:p>
    <w:p w14:paraId="1C356299" w14:textId="77777777" w:rsidR="00BC3A0C" w:rsidRDefault="00000000">
      <w:pPr>
        <w:spacing w:before="60" w:after="60" w:line="276" w:lineRule="auto"/>
      </w:pPr>
      <w:r>
        <w:rPr>
          <w:b/>
          <w:bCs/>
        </w:rPr>
        <w:t xml:space="preserve">The Mobilizer: </w:t>
      </w:r>
      <w:r>
        <w:t>Loyalty extends to the broader missionary enterprise. Success = candidates finding the right fit, whether here or elsewhere. Maintains peer agency relationships and makes referrals when appropriate.</w:t>
      </w:r>
    </w:p>
    <w:p w14:paraId="1C35629A" w14:textId="77777777" w:rsidR="00BC3A0C" w:rsidRDefault="00000000">
      <w:pPr>
        <w:spacing w:before="60" w:after="60" w:line="276" w:lineRule="auto"/>
      </w:pPr>
      <w:r>
        <w:rPr>
          <w:b/>
          <w:bCs/>
        </w:rPr>
        <w:t xml:space="preserve">The Spiritual Director: </w:t>
      </w:r>
      <w:r>
        <w:t>Primary orientation toward the candidate's relationship with God. Success = candidates gaining clarity on God's calling for their lives, even if that leads them away from missions entirely.</w:t>
      </w:r>
    </w:p>
    <w:p w14:paraId="1C35629B" w14:textId="77777777" w:rsidR="00BC3A0C" w:rsidRDefault="00000000">
      <w:pPr>
        <w:spacing w:before="60" w:after="60" w:line="276" w:lineRule="auto"/>
      </w:pPr>
      <w:r>
        <w:t>Research consistently shows that movement along this spectrum—from recruiter toward spiritual director—produces better outcomes at every measurable level.</w:t>
      </w:r>
    </w:p>
    <w:p w14:paraId="1C35629C" w14:textId="77777777" w:rsidR="00BC3A0C" w:rsidRDefault="00000000">
      <w:pPr>
        <w:pBdr>
          <w:left w:val="single" w:sz="12" w:space="8" w:color="2E75B6"/>
        </w:pBdr>
        <w:shd w:val="clear" w:color="auto" w:fill="D6E4F0"/>
        <w:spacing w:before="120" w:after="120"/>
        <w:ind w:left="600" w:right="600"/>
      </w:pPr>
      <w:r>
        <w:rPr>
          <w:i/>
          <w:iCs/>
        </w:rPr>
        <w:t>“I'm not in it for me and my agency, Small K Kingdom. I'm in this conversation for God and His Big K Kingdom. — Mobilization organization leader”</w:t>
      </w:r>
    </w:p>
    <w:p w14:paraId="1C35629D" w14:textId="77777777" w:rsidR="00BC3A0C" w:rsidRDefault="00BC3A0C">
      <w:pPr>
        <w:spacing w:before="40" w:after="40"/>
      </w:pPr>
    </w:p>
    <w:p w14:paraId="1C35629E" w14:textId="77777777" w:rsidR="00BC3A0C" w:rsidRDefault="00000000">
      <w:pPr>
        <w:pBdr>
          <w:bottom w:val="single" w:sz="6" w:space="1" w:color="2E75B6"/>
        </w:pBdr>
        <w:spacing w:before="280" w:after="100"/>
      </w:pPr>
      <w:r>
        <w:rPr>
          <w:b/>
          <w:bCs/>
          <w:color w:val="1F4E79"/>
          <w:sz w:val="28"/>
          <w:szCs w:val="28"/>
        </w:rPr>
        <w:t>Why the Old Paradigm Is Failing</w:t>
      </w:r>
    </w:p>
    <w:p w14:paraId="1C35629F" w14:textId="77777777" w:rsidR="00BC3A0C" w:rsidRDefault="00000000">
      <w:pPr>
        <w:pStyle w:val="ListParagraph"/>
        <w:numPr>
          <w:ilvl w:val="0"/>
          <w:numId w:val="2"/>
        </w:numPr>
        <w:spacing w:before="40" w:after="40"/>
      </w:pPr>
      <w:r>
        <w:t>Gen Z has grown up saturated with recruitment attempts and has developed finely-tuned detectors for inauthenticity—they disengage the moment they sense they are being recruited</w:t>
      </w:r>
    </w:p>
    <w:p w14:paraId="1C3562A0" w14:textId="77777777" w:rsidR="00BC3A0C" w:rsidRDefault="00000000">
      <w:pPr>
        <w:pStyle w:val="ListParagraph"/>
        <w:numPr>
          <w:ilvl w:val="0"/>
          <w:numId w:val="2"/>
        </w:numPr>
        <w:spacing w:before="40" w:after="40"/>
      </w:pPr>
      <w:r>
        <w:t>"It's the difference between a salesman and a consultant. If they feel salesman, it means they're the product" — and candidates filter every subsequent communication through that lens</w:t>
      </w:r>
    </w:p>
    <w:p w14:paraId="1C3562A1" w14:textId="77777777" w:rsidR="00BC3A0C" w:rsidRDefault="00000000">
      <w:pPr>
        <w:pStyle w:val="ListParagraph"/>
        <w:numPr>
          <w:ilvl w:val="0"/>
          <w:numId w:val="2"/>
        </w:numPr>
        <w:spacing w:before="40" w:after="40"/>
      </w:pPr>
      <w:r>
        <w:t>The recruitment paradigm is theologically incoherent: organizations committed to the Great Commission cannot simultaneously function as if their primary loyalty is to organizational growth</w:t>
      </w:r>
    </w:p>
    <w:p w14:paraId="1C3562A2" w14:textId="77777777" w:rsidR="00BC3A0C" w:rsidRDefault="00000000">
      <w:pPr>
        <w:pStyle w:val="ListParagraph"/>
        <w:numPr>
          <w:ilvl w:val="0"/>
          <w:numId w:val="2"/>
        </w:numPr>
        <w:spacing w:before="40" w:after="40"/>
      </w:pPr>
      <w:r>
        <w:t>The candidate's actual need is help discerning God's calling—organizations that meet this need build trust; those that substitute their institutional pitch miss the moment of greatest openness</w:t>
      </w:r>
    </w:p>
    <w:p w14:paraId="1C3562A3" w14:textId="77777777" w:rsidR="00BC3A0C" w:rsidRDefault="00BC3A0C">
      <w:pPr>
        <w:spacing w:before="40" w:after="40"/>
      </w:pPr>
    </w:p>
    <w:p w14:paraId="1C3562A4" w14:textId="77777777" w:rsidR="00BC3A0C" w:rsidRDefault="00000000">
      <w:pPr>
        <w:pBdr>
          <w:bottom w:val="single" w:sz="6" w:space="1" w:color="2E75B6"/>
        </w:pBdr>
        <w:spacing w:before="280" w:after="100"/>
      </w:pPr>
      <w:r>
        <w:rPr>
          <w:b/>
          <w:bCs/>
          <w:color w:val="1F4E79"/>
          <w:sz w:val="28"/>
          <w:szCs w:val="28"/>
        </w:rPr>
        <w:lastRenderedPageBreak/>
        <w:t>Biblical Foundations</w:t>
      </w:r>
    </w:p>
    <w:p w14:paraId="1C3562A5" w14:textId="77777777" w:rsidR="00BC3A0C" w:rsidRDefault="00000000">
      <w:pPr>
        <w:spacing w:before="60" w:after="60" w:line="276" w:lineRule="auto"/>
      </w:pPr>
      <w:r>
        <w:t>The spiritual direction model is grounded in Scripture's consistent pattern of divine calling. "Pray earnestly to the Lord of the harvest to send out laborers" (Matthew 9:</w:t>
      </w:r>
      <w:proofErr w:type="gramStart"/>
      <w:r>
        <w:t>38)—</w:t>
      </w:r>
      <w:proofErr w:type="gramEnd"/>
      <w:r>
        <w:t>the harvest belongs to the Lord; laborers are sent by the Lord. Mission organizations serve as instruments in that sending, not as owners of the process. The Acts 13 Antioch model—Spirit-initiated, community-affirmed, church-based sending—frames the agency's role as facilitating what God is already doing, not generating missionary supply to meet organizational demand.</w:t>
      </w:r>
    </w:p>
    <w:p w14:paraId="1C3562A6" w14:textId="77777777" w:rsidR="00BC3A0C" w:rsidRDefault="00BC3A0C">
      <w:pPr>
        <w:spacing w:before="40" w:after="40"/>
      </w:pPr>
    </w:p>
    <w:p w14:paraId="1C3562A7" w14:textId="77777777" w:rsidR="00BC3A0C" w:rsidRDefault="00000000">
      <w:pPr>
        <w:pBdr>
          <w:bottom w:val="single" w:sz="6" w:space="1" w:color="2E75B6"/>
        </w:pBdr>
        <w:spacing w:before="280" w:after="100"/>
      </w:pPr>
      <w:r>
        <w:rPr>
          <w:b/>
          <w:bCs/>
          <w:color w:val="1F4E79"/>
          <w:sz w:val="28"/>
          <w:szCs w:val="28"/>
        </w:rPr>
        <w:t>Diagnosing Your Current Culture</w:t>
      </w:r>
    </w:p>
    <w:p w14:paraId="1C3562A8" w14:textId="77777777" w:rsidR="00BC3A0C" w:rsidRDefault="00000000">
      <w:pPr>
        <w:spacing w:before="60" w:after="60" w:line="276" w:lineRule="auto"/>
      </w:pPr>
      <w:r>
        <w:t xml:space="preserve">Most organizations describe themselves as </w:t>
      </w:r>
      <w:proofErr w:type="gramStart"/>
      <w:r>
        <w:t>candidate-focused</w:t>
      </w:r>
      <w:proofErr w:type="gramEnd"/>
      <w:r>
        <w:t>. Accurate diagnosis requires examining actual behaviors, metrics, and systems. Key questions:</w:t>
      </w:r>
    </w:p>
    <w:p w14:paraId="1C3562A9" w14:textId="77777777" w:rsidR="00BC3A0C" w:rsidRDefault="00BC3A0C">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C3A0C" w14:paraId="1C3562AB" w14:textId="77777777">
        <w:tblPrEx>
          <w:tblCellMar>
            <w:top w:w="0" w:type="dxa"/>
            <w:bottom w:w="0" w:type="dxa"/>
          </w:tblCellMar>
        </w:tblPrEx>
        <w:tc>
          <w:tcPr>
            <w:tcW w:w="9360" w:type="dxa"/>
            <w:shd w:val="clear" w:color="auto" w:fill="1F4E79"/>
            <w:tcMar>
              <w:top w:w="80" w:type="dxa"/>
              <w:left w:w="120" w:type="dxa"/>
              <w:bottom w:w="80" w:type="dxa"/>
              <w:right w:w="120" w:type="dxa"/>
            </w:tcMar>
          </w:tcPr>
          <w:p w14:paraId="1C3562AA" w14:textId="77777777" w:rsidR="00BC3A0C" w:rsidRDefault="00000000">
            <w:r>
              <w:rPr>
                <w:b/>
                <w:bCs/>
                <w:color w:val="FFFFFF"/>
              </w:rPr>
              <w:t>DIAGNOSTIC QUESTIONS</w:t>
            </w:r>
          </w:p>
        </w:tc>
      </w:tr>
      <w:tr w:rsidR="00BC3A0C" w14:paraId="1C3562AD" w14:textId="77777777">
        <w:tblPrEx>
          <w:tblCellMar>
            <w:top w:w="0" w:type="dxa"/>
            <w:bottom w:w="0" w:type="dxa"/>
          </w:tblCellMar>
        </w:tblPrEx>
        <w:tc>
          <w:tcPr>
            <w:tcW w:w="9360" w:type="dxa"/>
            <w:tcMar>
              <w:top w:w="60" w:type="dxa"/>
              <w:left w:w="120" w:type="dxa"/>
              <w:bottom w:w="60" w:type="dxa"/>
              <w:right w:w="120" w:type="dxa"/>
            </w:tcMar>
          </w:tcPr>
          <w:p w14:paraId="1C3562AC" w14:textId="77777777" w:rsidR="00BC3A0C" w:rsidRDefault="00000000">
            <w:r>
              <w:rPr>
                <w:b/>
                <w:bCs/>
                <w:color w:val="2E75B6"/>
              </w:rPr>
              <w:t xml:space="preserve">• </w:t>
            </w:r>
            <w:r>
              <w:t>Are mobilizers evaluated primarily on application volume or on quality of candidate journeys and kingdom outcomes?</w:t>
            </w:r>
          </w:p>
        </w:tc>
      </w:tr>
      <w:tr w:rsidR="00BC3A0C" w14:paraId="1C3562AF" w14:textId="77777777">
        <w:tblPrEx>
          <w:tblCellMar>
            <w:top w:w="0" w:type="dxa"/>
            <w:bottom w:w="0" w:type="dxa"/>
          </w:tblCellMar>
        </w:tblPrEx>
        <w:tc>
          <w:tcPr>
            <w:tcW w:w="9360" w:type="dxa"/>
            <w:tcMar>
              <w:top w:w="60" w:type="dxa"/>
              <w:left w:w="120" w:type="dxa"/>
              <w:bottom w:w="60" w:type="dxa"/>
              <w:right w:w="120" w:type="dxa"/>
            </w:tcMar>
          </w:tcPr>
          <w:p w14:paraId="1C3562AE" w14:textId="77777777" w:rsidR="00BC3A0C" w:rsidRDefault="00000000">
            <w:r>
              <w:rPr>
                <w:b/>
                <w:bCs/>
                <w:color w:val="2E75B6"/>
              </w:rPr>
              <w:t xml:space="preserve">• </w:t>
            </w:r>
            <w:r>
              <w:t>When a mobilizer refers a candidate to another agency, is this treated as a success, neutral outcome, or failure?</w:t>
            </w:r>
          </w:p>
        </w:tc>
      </w:tr>
      <w:tr w:rsidR="00BC3A0C" w14:paraId="1C3562B1" w14:textId="77777777">
        <w:tblPrEx>
          <w:tblCellMar>
            <w:top w:w="0" w:type="dxa"/>
            <w:bottom w:w="0" w:type="dxa"/>
          </w:tblCellMar>
        </w:tblPrEx>
        <w:tc>
          <w:tcPr>
            <w:tcW w:w="9360" w:type="dxa"/>
            <w:tcMar>
              <w:top w:w="60" w:type="dxa"/>
              <w:left w:w="120" w:type="dxa"/>
              <w:bottom w:w="60" w:type="dxa"/>
              <w:right w:w="120" w:type="dxa"/>
            </w:tcMar>
          </w:tcPr>
          <w:p w14:paraId="1C3562B0" w14:textId="77777777" w:rsidR="00BC3A0C" w:rsidRDefault="00000000">
            <w:r>
              <w:rPr>
                <w:b/>
                <w:bCs/>
                <w:color w:val="2E75B6"/>
              </w:rPr>
              <w:t xml:space="preserve">• </w:t>
            </w:r>
            <w:r>
              <w:t>In initial conversations, do mobilizers spend most time presenting organizational opportunities or asking what God is doing in the candidate's life?</w:t>
            </w:r>
          </w:p>
        </w:tc>
      </w:tr>
      <w:tr w:rsidR="00BC3A0C" w14:paraId="1C3562B3" w14:textId="77777777">
        <w:tblPrEx>
          <w:tblCellMar>
            <w:top w:w="0" w:type="dxa"/>
            <w:bottom w:w="0" w:type="dxa"/>
          </w:tblCellMar>
        </w:tblPrEx>
        <w:tc>
          <w:tcPr>
            <w:tcW w:w="9360" w:type="dxa"/>
            <w:tcMar>
              <w:top w:w="60" w:type="dxa"/>
              <w:left w:w="120" w:type="dxa"/>
              <w:bottom w:w="60" w:type="dxa"/>
              <w:right w:w="120" w:type="dxa"/>
            </w:tcMar>
          </w:tcPr>
          <w:p w14:paraId="1C3562B2" w14:textId="77777777" w:rsidR="00BC3A0C" w:rsidRDefault="00000000">
            <w:r>
              <w:rPr>
                <w:b/>
                <w:bCs/>
                <w:color w:val="2E75B6"/>
              </w:rPr>
              <w:t xml:space="preserve">• </w:t>
            </w:r>
            <w:r>
              <w:t>Can mobilizers have honest conversations about organizational struggles as well as strengths?</w:t>
            </w:r>
          </w:p>
        </w:tc>
      </w:tr>
      <w:tr w:rsidR="00BC3A0C" w14:paraId="1C3562B5" w14:textId="77777777">
        <w:tblPrEx>
          <w:tblCellMar>
            <w:top w:w="0" w:type="dxa"/>
            <w:bottom w:w="0" w:type="dxa"/>
          </w:tblCellMar>
        </w:tblPrEx>
        <w:tc>
          <w:tcPr>
            <w:tcW w:w="9360" w:type="dxa"/>
            <w:tcMar>
              <w:top w:w="60" w:type="dxa"/>
              <w:left w:w="120" w:type="dxa"/>
              <w:bottom w:w="60" w:type="dxa"/>
              <w:right w:w="120" w:type="dxa"/>
            </w:tcMar>
          </w:tcPr>
          <w:p w14:paraId="1C3562B4" w14:textId="77777777" w:rsidR="00BC3A0C" w:rsidRDefault="00000000">
            <w:r>
              <w:rPr>
                <w:b/>
                <w:bCs/>
                <w:color w:val="2E75B6"/>
              </w:rPr>
              <w:t xml:space="preserve">• </w:t>
            </w:r>
            <w:r>
              <w:t>Does your website and first contact process communicate institutional interest or genuine care for the candidate's journey?</w:t>
            </w:r>
          </w:p>
        </w:tc>
      </w:tr>
    </w:tbl>
    <w:p w14:paraId="1C3562B6" w14:textId="77777777" w:rsidR="00BC3A0C" w:rsidRDefault="00BC3A0C">
      <w:pPr>
        <w:spacing w:before="40" w:after="40"/>
      </w:pPr>
    </w:p>
    <w:p w14:paraId="1C3562B7" w14:textId="77777777" w:rsidR="00BC3A0C" w:rsidRDefault="00000000">
      <w:pPr>
        <w:spacing w:before="60" w:after="60" w:line="276" w:lineRule="auto"/>
      </w:pPr>
      <w:r>
        <w:t>"Mobilization flows out of organizational health" and "mobilization stops at the door of your agency's dysfunction." Organizations that hide dysfunction or project false perfection find their mobilization efforts undermined when reality becomes apparent.</w:t>
      </w:r>
    </w:p>
    <w:p w14:paraId="1C3562B8" w14:textId="77777777" w:rsidR="00BC3A0C" w:rsidRDefault="00BC3A0C">
      <w:pPr>
        <w:spacing w:before="40" w:after="40"/>
      </w:pPr>
    </w:p>
    <w:p w14:paraId="1C3562B9" w14:textId="77777777" w:rsidR="00BC3A0C" w:rsidRDefault="00000000">
      <w:pPr>
        <w:pBdr>
          <w:bottom w:val="single" w:sz="6" w:space="1" w:color="2E75B6"/>
        </w:pBdr>
        <w:spacing w:before="280" w:after="100"/>
      </w:pPr>
      <w:r>
        <w:rPr>
          <w:b/>
          <w:bCs/>
          <w:color w:val="1F4E79"/>
          <w:sz w:val="28"/>
          <w:szCs w:val="28"/>
        </w:rPr>
        <w:t>Leading Organizational Transformation</w:t>
      </w:r>
    </w:p>
    <w:p w14:paraId="1C3562BA" w14:textId="77777777" w:rsidR="00BC3A0C" w:rsidRDefault="00000000">
      <w:pPr>
        <w:spacing w:before="200" w:after="80"/>
      </w:pPr>
      <w:r>
        <w:rPr>
          <w:b/>
          <w:bCs/>
          <w:color w:val="2E75B6"/>
          <w:sz w:val="24"/>
          <w:szCs w:val="24"/>
        </w:rPr>
        <w:t>Change requires five elements:</w:t>
      </w:r>
    </w:p>
    <w:p w14:paraId="1C3562BB" w14:textId="77777777" w:rsidR="00BC3A0C" w:rsidRDefault="00000000">
      <w:pPr>
        <w:pStyle w:val="ListParagraph"/>
        <w:numPr>
          <w:ilvl w:val="0"/>
          <w:numId w:val="2"/>
        </w:numPr>
        <w:spacing w:before="40" w:after="40"/>
      </w:pPr>
      <w:r>
        <w:t>Leadership buy-in: Philosophical transformation is impossible without leaders who genuinely believe in—and are accountable to—kingdom-minded mobilization. When leaders celebrate application volume in staff meetings, they signal values more powerfully than any stated commitment.</w:t>
      </w:r>
    </w:p>
    <w:p w14:paraId="1C3562BC" w14:textId="77777777" w:rsidR="00BC3A0C" w:rsidRDefault="00000000">
      <w:pPr>
        <w:pStyle w:val="ListParagraph"/>
        <w:numPr>
          <w:ilvl w:val="0"/>
          <w:numId w:val="2"/>
        </w:numPr>
        <w:spacing w:before="40" w:after="40"/>
      </w:pPr>
      <w:r>
        <w:t>Metric redesign: Track candidate satisfaction quality, conversion rates at each pipeline stage, field retention rates, and kingdom-minded referrals made—not only application volume. What gets measured drives behavior.</w:t>
      </w:r>
    </w:p>
    <w:p w14:paraId="1C3562BD" w14:textId="77777777" w:rsidR="00BC3A0C" w:rsidRDefault="00000000">
      <w:pPr>
        <w:pStyle w:val="ListParagraph"/>
        <w:numPr>
          <w:ilvl w:val="0"/>
          <w:numId w:val="2"/>
        </w:numPr>
        <w:spacing w:before="40" w:after="40"/>
      </w:pPr>
      <w:r>
        <w:t>Mobilizer retraining: The shift requires different competencies—listening skills, discernment guidance, theological formation, and kingdom-minded referral practice. This is sustained development, not a one-time training event.</w:t>
      </w:r>
    </w:p>
    <w:p w14:paraId="1C3562BE" w14:textId="77777777" w:rsidR="00BC3A0C" w:rsidRDefault="00000000">
      <w:pPr>
        <w:pStyle w:val="ListParagraph"/>
        <w:numPr>
          <w:ilvl w:val="0"/>
          <w:numId w:val="2"/>
        </w:numPr>
        <w:spacing w:before="40" w:after="40"/>
      </w:pPr>
      <w:r>
        <w:t>Systems alignment: CRM configuration, communication templates, hiring standards, and recognition practices must structurally reinforce the new paradigm, not merely accompany it.</w:t>
      </w:r>
    </w:p>
    <w:p w14:paraId="1C3562BF" w14:textId="77777777" w:rsidR="00BC3A0C" w:rsidRDefault="00000000">
      <w:pPr>
        <w:pStyle w:val="ListParagraph"/>
        <w:numPr>
          <w:ilvl w:val="0"/>
          <w:numId w:val="2"/>
        </w:numPr>
        <w:spacing w:before="40" w:after="40"/>
      </w:pPr>
      <w:r>
        <w:t>Cultural celebration: Genuinely celebrate kingdom wins that don't produce applications to your organization—referrals to better-fit agencies, candidates helped to gain clarity they are not ready, missionaries well-prepared who thrive on the field.</w:t>
      </w:r>
    </w:p>
    <w:p w14:paraId="1C3562C0" w14:textId="77777777" w:rsidR="00BC3A0C" w:rsidRDefault="00BC3A0C">
      <w:pPr>
        <w:spacing w:before="40" w:after="40"/>
      </w:pPr>
    </w:p>
    <w:p w14:paraId="1C3562C1" w14:textId="77777777" w:rsidR="00BC3A0C" w:rsidRDefault="00000000">
      <w:pPr>
        <w:pBdr>
          <w:bottom w:val="single" w:sz="6" w:space="1" w:color="2E75B6"/>
        </w:pBdr>
        <w:spacing w:before="280" w:after="100"/>
      </w:pPr>
      <w:r>
        <w:rPr>
          <w:b/>
          <w:bCs/>
          <w:color w:val="1F4E79"/>
          <w:sz w:val="28"/>
          <w:szCs w:val="28"/>
        </w:rPr>
        <w:lastRenderedPageBreak/>
        <w:t>Stages of Transformation</w:t>
      </w:r>
    </w:p>
    <w:p w14:paraId="1C3562C2" w14:textId="77777777" w:rsidR="00BC3A0C" w:rsidRDefault="00000000">
      <w:pPr>
        <w:spacing w:before="60" w:after="60" w:line="276" w:lineRule="auto"/>
      </w:pPr>
      <w:r>
        <w:t>Organizations that have successfully navigated this transition describe a recognizable pattern: (1) Conviction—deep theological and practical commitment to change; (2) Articulation—compelling vision communicated to all stakeholders; (3) System Redesign—metrics, evaluation, hiring, and communications aligned with new values; (4) Team Development—sustained investment in spiritual direction competencies; (5) Consolidation—new practices embedded in culture, new hires selected for fit.</w:t>
      </w:r>
    </w:p>
    <w:p w14:paraId="1C3562C3" w14:textId="77777777" w:rsidR="00BC3A0C" w:rsidRDefault="00000000">
      <w:pPr>
        <w:spacing w:before="60" w:after="60" w:line="276" w:lineRule="auto"/>
      </w:pPr>
      <w:r>
        <w:t xml:space="preserve">The transition typically requires sustained effort across multiple years and encounters predictable challenges: initial application decline (a feature, not a bug), staff resistance from experienced recruiters, and board pressure when short-term numbers dip. Organizations that hold </w:t>
      </w:r>
      <w:proofErr w:type="gramStart"/>
      <w:r>
        <w:t>course</w:t>
      </w:r>
      <w:proofErr w:type="gramEnd"/>
      <w:r>
        <w:t xml:space="preserve"> through these challenges consistently see long-term improvement in both mobilization quality and organizational reputation.</w:t>
      </w:r>
    </w:p>
    <w:p w14:paraId="1C3562C4" w14:textId="77777777" w:rsidR="00BC3A0C" w:rsidRDefault="00BC3A0C">
      <w:pPr>
        <w:spacing w:before="40" w:after="40"/>
      </w:pPr>
    </w:p>
    <w:p w14:paraId="1C3562C5" w14:textId="77777777" w:rsidR="00BC3A0C" w:rsidRDefault="00000000">
      <w:pPr>
        <w:pBdr>
          <w:bottom w:val="single" w:sz="6" w:space="1" w:color="2E75B6"/>
        </w:pBdr>
        <w:spacing w:before="280" w:after="100"/>
      </w:pPr>
      <w:r>
        <w:rPr>
          <w:b/>
          <w:bCs/>
          <w:color w:val="1F4E79"/>
          <w:sz w:val="28"/>
          <w:szCs w:val="28"/>
        </w:rPr>
        <w:t>Key Practices from Transformed Organizations</w:t>
      </w:r>
    </w:p>
    <w:p w14:paraId="1C3562C6" w14:textId="77777777" w:rsidR="00BC3A0C" w:rsidRDefault="00000000">
      <w:pPr>
        <w:pStyle w:val="ListParagraph"/>
        <w:numPr>
          <w:ilvl w:val="0"/>
          <w:numId w:val="2"/>
        </w:numPr>
        <w:spacing w:before="40" w:after="40"/>
      </w:pPr>
      <w:r>
        <w:t xml:space="preserve">"Inspire and </w:t>
      </w:r>
      <w:proofErr w:type="gramStart"/>
      <w:r>
        <w:t>educate—</w:t>
      </w:r>
      <w:proofErr w:type="gramEnd"/>
      <w:r>
        <w:t xml:space="preserve">don't discourage at all, especially at this early stage. We don't really know yet </w:t>
      </w:r>
      <w:proofErr w:type="gramStart"/>
      <w:r>
        <w:t>whether or not</w:t>
      </w:r>
      <w:proofErr w:type="gramEnd"/>
      <w:r>
        <w:t xml:space="preserve"> they're a good fit for the mission field. Let's give God room to work in people's lives."</w:t>
      </w:r>
    </w:p>
    <w:p w14:paraId="1C3562C7" w14:textId="77777777" w:rsidR="00BC3A0C" w:rsidRDefault="00000000">
      <w:pPr>
        <w:pStyle w:val="ListParagraph"/>
        <w:numPr>
          <w:ilvl w:val="0"/>
          <w:numId w:val="2"/>
        </w:numPr>
        <w:spacing w:before="40" w:after="40"/>
      </w:pPr>
      <w:r>
        <w:t>"Mobilization should be more discipleship than it is recruitment. One of the questions that mobilizers can ask is: what is prohibiting you from taking the next step? And how would you invite God into that space?"</w:t>
      </w:r>
    </w:p>
    <w:p w14:paraId="1C3562C8" w14:textId="77777777" w:rsidR="00BC3A0C" w:rsidRDefault="00000000">
      <w:pPr>
        <w:pStyle w:val="ListParagraph"/>
        <w:numPr>
          <w:ilvl w:val="0"/>
          <w:numId w:val="2"/>
        </w:numPr>
        <w:spacing w:before="40" w:after="40"/>
      </w:pPr>
      <w:r>
        <w:t>Third-party coaching model: Some organizations function as explicitly candidate-neutral mobilization coaches, placing candidates with the right sending agency after comprehensive discernment—an institutional structure that makes spiritual direction not merely possible but required.</w:t>
      </w:r>
    </w:p>
    <w:p w14:paraId="1C3562C9" w14:textId="77777777" w:rsidR="00BC3A0C" w:rsidRDefault="00000000">
      <w:pPr>
        <w:pStyle w:val="ListParagraph"/>
        <w:numPr>
          <w:ilvl w:val="0"/>
          <w:numId w:val="2"/>
        </w:numPr>
        <w:spacing w:before="40" w:after="40"/>
      </w:pPr>
      <w:r>
        <w:t>Whole-organization commitment: Genuine transformation cannot be isolated to the mobilization department. Finance, communications, IT, and leadership culture all communicate the organization's actual values to candidates.</w:t>
      </w:r>
    </w:p>
    <w:p w14:paraId="1C3562CA" w14:textId="77777777" w:rsidR="00BC3A0C" w:rsidRDefault="00BC3A0C">
      <w:pPr>
        <w:spacing w:before="40" w:after="40"/>
      </w:pPr>
    </w:p>
    <w:p w14:paraId="1C3562CB" w14:textId="77777777" w:rsidR="00BC3A0C" w:rsidRDefault="00000000">
      <w:pPr>
        <w:pBdr>
          <w:bottom w:val="single" w:sz="6" w:space="1" w:color="2E75B6"/>
        </w:pBdr>
        <w:spacing w:before="280" w:after="100"/>
      </w:pPr>
      <w:r>
        <w:rPr>
          <w:b/>
          <w:bCs/>
          <w:color w:val="1F4E79"/>
          <w:sz w:val="28"/>
          <w:szCs w:val="28"/>
        </w:rPr>
        <w:t>Hiring for the Right Mindset</w:t>
      </w:r>
    </w:p>
    <w:p w14:paraId="1C3562CC" w14:textId="77777777" w:rsidR="00BC3A0C" w:rsidRDefault="00000000">
      <w:pPr>
        <w:spacing w:before="60" w:after="60" w:line="276" w:lineRule="auto"/>
      </w:pPr>
      <w:r>
        <w:t>No lever has more long-term impact than who gets hired as a mobilizer. The right candidate: genuinely curious about people, theologically formed, comfortable with uncertainty, more interested in helping others find their best fit than in closing a particular outcome. Field experience matters—mobilizers who have themselves served cross-culturally can speak with honesty that builds trust.</w:t>
      </w:r>
    </w:p>
    <w:p w14:paraId="1C3562CD" w14:textId="77777777" w:rsidR="00BC3A0C" w:rsidRDefault="00000000">
      <w:pPr>
        <w:spacing w:before="60" w:after="60" w:line="276" w:lineRule="auto"/>
      </w:pPr>
      <w:r>
        <w:t>Interview scenarios that reveal underlying philosophy: "How would you handle a candidate who seems better suited for a different organization?" "What does success look like to you?" "How do you talk about candidates who didn't apply to your organization?"</w:t>
      </w:r>
    </w:p>
    <w:p w14:paraId="1C3562CE" w14:textId="77777777" w:rsidR="00BC3A0C" w:rsidRDefault="00BC3A0C">
      <w:pPr>
        <w:spacing w:before="40" w:after="40"/>
      </w:pPr>
    </w:p>
    <w:p w14:paraId="1C3562CF" w14:textId="77777777" w:rsidR="00BC3A0C" w:rsidRDefault="00000000">
      <w:pPr>
        <w:pBdr>
          <w:bottom w:val="single" w:sz="6" w:space="1" w:color="2E75B6"/>
        </w:pBdr>
        <w:spacing w:before="280" w:after="100"/>
      </w:pPr>
      <w:r>
        <w:rPr>
          <w:b/>
          <w:bCs/>
          <w:color w:val="1F4E79"/>
          <w:sz w:val="28"/>
          <w:szCs w:val="28"/>
        </w:rPr>
        <w:t>The Bottom Line</w:t>
      </w:r>
    </w:p>
    <w:p w14:paraId="1C3562D0" w14:textId="77777777" w:rsidR="00BC3A0C" w:rsidRDefault="00000000">
      <w:pPr>
        <w:spacing w:before="60" w:after="60" w:line="276" w:lineRule="auto"/>
      </w:pPr>
      <w:r>
        <w:t xml:space="preserve">The research across 18+ organizations reveals a consistent finding: the most kingdom-minded </w:t>
      </w:r>
      <w:proofErr w:type="gramStart"/>
      <w:r>
        <w:t>organizations—</w:t>
      </w:r>
      <w:proofErr w:type="gramEnd"/>
      <w:r>
        <w:t xml:space="preserve">those most genuinely committed to candidate welfare, most willing to refer, most honest about their own </w:t>
      </w:r>
      <w:proofErr w:type="gramStart"/>
      <w:r>
        <w:t>limitations—</w:t>
      </w:r>
      <w:proofErr w:type="gramEnd"/>
      <w:r>
        <w:t>consistently produce the strongest mobilization outcomes. Trust, authentically earned, produces candidates who are genuinely committed, well-prepared, and sustained by community.</w:t>
      </w:r>
    </w:p>
    <w:p w14:paraId="1C3562D1" w14:textId="77777777" w:rsidR="00BC3A0C" w:rsidRDefault="00000000">
      <w:pPr>
        <w:spacing w:before="60" w:after="60" w:line="276" w:lineRule="auto"/>
      </w:pPr>
      <w:r>
        <w:t xml:space="preserve">The transformation from recruitment to spiritual direction is not primarily a strategic adjustment. It is a calling to align organizational practice with the theological convictions most organizations already </w:t>
      </w:r>
      <w:proofErr w:type="gramStart"/>
      <w:r>
        <w:t>hold:</w:t>
      </w:r>
      <w:proofErr w:type="gramEnd"/>
      <w:r>
        <w:t xml:space="preserve"> that God is the Lord of the harvest, He is the one who calls and sends, and the mission organization's role </w:t>
      </w:r>
      <w:r>
        <w:lastRenderedPageBreak/>
        <w:t>is to serve His purposes faithfully. Full paper available from Missio Nexus—includes expanded case studies, diagnostic tools, training frameworks, and 10 discussion questions.</w:t>
      </w:r>
    </w:p>
    <w:sectPr w:rsidR="00BC3A0C">
      <w:headerReference w:type="default" r:id="rId10"/>
      <w:footerReference w:type="default" r:id="rId11"/>
      <w:pgSz w:w="12240" w:h="15840"/>
      <w:pgMar w:top="1080" w:right="1440" w:bottom="108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07DE4" w14:textId="77777777" w:rsidR="00C44704" w:rsidRDefault="00C44704">
      <w:r>
        <w:separator/>
      </w:r>
    </w:p>
  </w:endnote>
  <w:endnote w:type="continuationSeparator" w:id="0">
    <w:p w14:paraId="6FC21514" w14:textId="77777777" w:rsidR="00C44704" w:rsidRDefault="00C44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562D3" w14:textId="77777777" w:rsidR="00BC3A0C" w:rsidRDefault="00000000">
    <w:pPr>
      <w:pBdr>
        <w:top w:val="single" w:sz="6" w:space="1" w:color="2E75B6"/>
      </w:pBdr>
      <w:spacing w:before="100"/>
    </w:pPr>
    <w:r>
      <w:rPr>
        <w:color w:val="595959"/>
        <w:sz w:val="16"/>
        <w:szCs w:val="16"/>
      </w:rPr>
      <w:t>From Recruitment to Spiritual Direction • Mark Harris, Researcher • Full paper available at Missio Nexus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07CFA" w14:textId="77777777" w:rsidR="00C44704" w:rsidRDefault="00C44704">
      <w:r>
        <w:separator/>
      </w:r>
    </w:p>
  </w:footnote>
  <w:footnote w:type="continuationSeparator" w:id="0">
    <w:p w14:paraId="6C3F9E84" w14:textId="77777777" w:rsidR="00C44704" w:rsidRDefault="00C44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562D2" w14:textId="77777777" w:rsidR="00BC3A0C" w:rsidRDefault="00000000">
    <w:pPr>
      <w:pBdr>
        <w:bottom w:val="single" w:sz="6" w:space="1" w:color="2E75B6"/>
      </w:pBdr>
      <w:spacing w:after="100"/>
    </w:pPr>
    <w:r>
      <w:rPr>
        <w:color w:val="595959"/>
        <w:sz w:val="16"/>
        <w:szCs w:val="16"/>
      </w:rPr>
      <w:t>MISSIO NEXUS | MOBILIZATION RESEARCH SERIES • Paper #12 Executive Summary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215A1"/>
    <w:multiLevelType w:val="hybridMultilevel"/>
    <w:tmpl w:val="CE682836"/>
    <w:lvl w:ilvl="0" w:tplc="F2649596">
      <w:start w:val="1"/>
      <w:numFmt w:val="bullet"/>
      <w:lvlText w:val="•"/>
      <w:lvlJc w:val="left"/>
      <w:pPr>
        <w:ind w:left="600" w:hanging="300"/>
      </w:pPr>
    </w:lvl>
    <w:lvl w:ilvl="1" w:tplc="1D20A20A">
      <w:numFmt w:val="decimal"/>
      <w:lvlText w:val=""/>
      <w:lvlJc w:val="left"/>
    </w:lvl>
    <w:lvl w:ilvl="2" w:tplc="E9261B52">
      <w:numFmt w:val="decimal"/>
      <w:lvlText w:val=""/>
      <w:lvlJc w:val="left"/>
    </w:lvl>
    <w:lvl w:ilvl="3" w:tplc="59D81584">
      <w:numFmt w:val="decimal"/>
      <w:lvlText w:val=""/>
      <w:lvlJc w:val="left"/>
    </w:lvl>
    <w:lvl w:ilvl="4" w:tplc="B470D866">
      <w:numFmt w:val="decimal"/>
      <w:lvlText w:val=""/>
      <w:lvlJc w:val="left"/>
    </w:lvl>
    <w:lvl w:ilvl="5" w:tplc="50C27290">
      <w:numFmt w:val="decimal"/>
      <w:lvlText w:val=""/>
      <w:lvlJc w:val="left"/>
    </w:lvl>
    <w:lvl w:ilvl="6" w:tplc="618C8F7E">
      <w:numFmt w:val="decimal"/>
      <w:lvlText w:val=""/>
      <w:lvlJc w:val="left"/>
    </w:lvl>
    <w:lvl w:ilvl="7" w:tplc="50948CA4">
      <w:numFmt w:val="decimal"/>
      <w:lvlText w:val=""/>
      <w:lvlJc w:val="left"/>
    </w:lvl>
    <w:lvl w:ilvl="8" w:tplc="D3BA2B96">
      <w:numFmt w:val="decimal"/>
      <w:lvlText w:val=""/>
      <w:lvlJc w:val="left"/>
    </w:lvl>
  </w:abstractNum>
  <w:abstractNum w:abstractNumId="1" w15:restartNumberingAfterBreak="0">
    <w:nsid w:val="471235A1"/>
    <w:multiLevelType w:val="hybridMultilevel"/>
    <w:tmpl w:val="193A164A"/>
    <w:lvl w:ilvl="0" w:tplc="7F1E0CC2">
      <w:start w:val="1"/>
      <w:numFmt w:val="bullet"/>
      <w:lvlText w:val="●"/>
      <w:lvlJc w:val="left"/>
      <w:pPr>
        <w:ind w:left="720" w:hanging="360"/>
      </w:pPr>
    </w:lvl>
    <w:lvl w:ilvl="1" w:tplc="DCE61C08">
      <w:start w:val="1"/>
      <w:numFmt w:val="bullet"/>
      <w:lvlText w:val="○"/>
      <w:lvlJc w:val="left"/>
      <w:pPr>
        <w:ind w:left="1440" w:hanging="360"/>
      </w:pPr>
    </w:lvl>
    <w:lvl w:ilvl="2" w:tplc="C3669BF0">
      <w:start w:val="1"/>
      <w:numFmt w:val="bullet"/>
      <w:lvlText w:val="■"/>
      <w:lvlJc w:val="left"/>
      <w:pPr>
        <w:ind w:left="2160" w:hanging="360"/>
      </w:pPr>
    </w:lvl>
    <w:lvl w:ilvl="3" w:tplc="E2882C12">
      <w:start w:val="1"/>
      <w:numFmt w:val="bullet"/>
      <w:lvlText w:val="●"/>
      <w:lvlJc w:val="left"/>
      <w:pPr>
        <w:ind w:left="2880" w:hanging="360"/>
      </w:pPr>
    </w:lvl>
    <w:lvl w:ilvl="4" w:tplc="1E90D85E">
      <w:start w:val="1"/>
      <w:numFmt w:val="bullet"/>
      <w:lvlText w:val="○"/>
      <w:lvlJc w:val="left"/>
      <w:pPr>
        <w:ind w:left="3600" w:hanging="360"/>
      </w:pPr>
    </w:lvl>
    <w:lvl w:ilvl="5" w:tplc="457E7C86">
      <w:start w:val="1"/>
      <w:numFmt w:val="bullet"/>
      <w:lvlText w:val="■"/>
      <w:lvlJc w:val="left"/>
      <w:pPr>
        <w:ind w:left="4320" w:hanging="360"/>
      </w:pPr>
    </w:lvl>
    <w:lvl w:ilvl="6" w:tplc="974A5C22">
      <w:start w:val="1"/>
      <w:numFmt w:val="bullet"/>
      <w:lvlText w:val="●"/>
      <w:lvlJc w:val="left"/>
      <w:pPr>
        <w:ind w:left="5040" w:hanging="360"/>
      </w:pPr>
    </w:lvl>
    <w:lvl w:ilvl="7" w:tplc="1BFC0DB2">
      <w:start w:val="1"/>
      <w:numFmt w:val="bullet"/>
      <w:lvlText w:val="●"/>
      <w:lvlJc w:val="left"/>
      <w:pPr>
        <w:ind w:left="5760" w:hanging="360"/>
      </w:pPr>
    </w:lvl>
    <w:lvl w:ilvl="8" w:tplc="DDAA482A">
      <w:start w:val="1"/>
      <w:numFmt w:val="bullet"/>
      <w:lvlText w:val="●"/>
      <w:lvlJc w:val="left"/>
      <w:pPr>
        <w:ind w:left="6480" w:hanging="360"/>
      </w:pPr>
    </w:lvl>
  </w:abstractNum>
  <w:num w:numId="1" w16cid:durableId="295451803">
    <w:abstractNumId w:val="1"/>
    <w:lvlOverride w:ilvl="0">
      <w:startOverride w:val="1"/>
    </w:lvlOverride>
  </w:num>
  <w:num w:numId="2" w16cid:durableId="11564596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A0C"/>
    <w:rsid w:val="001F66F1"/>
    <w:rsid w:val="008132FD"/>
    <w:rsid w:val="00BC3A0C"/>
    <w:rsid w:val="00C44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5628F"/>
  <w15:docId w15:val="{0AE32F29-6AF6-4245-BDFE-C8F6BEAF9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D270608C5F9C4196E471F4984E04D1" ma:contentTypeVersion="18" ma:contentTypeDescription="Create a new document." ma:contentTypeScope="" ma:versionID="4179e03e4e661af0f29d0e6998c52fd0">
  <xsd:schema xmlns:xsd="http://www.w3.org/2001/XMLSchema" xmlns:xs="http://www.w3.org/2001/XMLSchema" xmlns:p="http://schemas.microsoft.com/office/2006/metadata/properties" xmlns:ns2="90f0c0a0-c4fe-464d-aae4-dae649b03d31" xmlns:ns3="82a08bf5-3fe8-494c-89fd-791f52367f6b" targetNamespace="http://schemas.microsoft.com/office/2006/metadata/properties" ma:root="true" ma:fieldsID="2f1fd11c3e62fd14dddc9df98e3b6b53" ns2:_="" ns3:_="">
    <xsd:import namespace="90f0c0a0-c4fe-464d-aae4-dae649b03d31"/>
    <xsd:import namespace="82a08bf5-3fe8-494c-89fd-791f52367f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0c0a0-c4fe-464d-aae4-dae649b03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5d165d-3970-40dd-9ad0-40a8b286244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a08bf5-3fe8-494c-89fd-791f52367f6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a20a2c5-2beb-439b-a251-832ecab166fe}" ma:internalName="TaxCatchAll" ma:showField="CatchAllData" ma:web="82a08bf5-3fe8-494c-89fd-791f52367f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2a08bf5-3fe8-494c-89fd-791f52367f6b" xsi:nil="true"/>
    <lcf76f155ced4ddcb4097134ff3c332f xmlns="90f0c0a0-c4fe-464d-aae4-dae649b03d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CAE48C-FB95-4297-985C-5FBF83723B32}">
  <ds:schemaRefs>
    <ds:schemaRef ds:uri="http://schemas.microsoft.com/sharepoint/v3/contenttype/forms"/>
  </ds:schemaRefs>
</ds:datastoreItem>
</file>

<file path=customXml/itemProps2.xml><?xml version="1.0" encoding="utf-8"?>
<ds:datastoreItem xmlns:ds="http://schemas.openxmlformats.org/officeDocument/2006/customXml" ds:itemID="{CC78BED0-EAD8-4399-9503-7A20D45EB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0c0a0-c4fe-464d-aae4-dae649b03d31"/>
    <ds:schemaRef ds:uri="82a08bf5-3fe8-494c-89fd-791f52367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CBD366-92D6-4102-8EF1-39894316EC4B}">
  <ds:schemaRefs>
    <ds:schemaRef ds:uri="http://schemas.microsoft.com/office/2006/metadata/properties"/>
    <ds:schemaRef ds:uri="http://schemas.microsoft.com/office/infopath/2007/PartnerControls"/>
    <ds:schemaRef ds:uri="82a08bf5-3fe8-494c-89fd-791f52367f6b"/>
    <ds:schemaRef ds:uri="90f0c0a0-c4fe-464d-aae4-dae649b03d3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1240</Words>
  <Characters>7919</Characters>
  <Application>Microsoft Office Word</Application>
  <DocSecurity>0</DocSecurity>
  <Lines>134</Lines>
  <Paragraphs>49</Paragraphs>
  <ScaleCrop>false</ScaleCrop>
  <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Michael VanHuis</cp:lastModifiedBy>
  <cp:revision>2</cp:revision>
  <dcterms:created xsi:type="dcterms:W3CDTF">2026-02-24T17:29:00Z</dcterms:created>
  <dcterms:modified xsi:type="dcterms:W3CDTF">2026-03-16T19:47:00Z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0x0101006BD270608C5F9C4196E471F4984E04D1</vt:lpwstr>
  </property>
</Properties>
</file>